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b/>
          <w:kern w:val="0"/>
          <w:sz w:val="24"/>
          <w:szCs w:val="24"/>
        </w:rPr>
      </w:pPr>
      <w:r>
        <w:rPr>
          <w:rFonts w:hint="eastAsia" w:ascii="宋体" w:hAnsi="宋体" w:eastAsia="宋体" w:cs="宋体"/>
          <w:b/>
          <w:kern w:val="0"/>
          <w:sz w:val="24"/>
          <w:szCs w:val="24"/>
        </w:rPr>
        <w:t>附件一</w:t>
      </w:r>
    </w:p>
    <w:p>
      <w:pPr>
        <w:ind w:firstLine="5638" w:firstLineChars="1755"/>
        <w:rPr>
          <w:rFonts w:ascii="仿宋" w:hAnsi="仿宋" w:eastAsia="仿宋" w:cs="宋体"/>
          <w:b/>
          <w:kern w:val="0"/>
          <w:sz w:val="32"/>
          <w:szCs w:val="32"/>
        </w:rPr>
      </w:pPr>
      <w:r>
        <w:rPr>
          <w:rFonts w:hint="eastAsia" w:ascii="仿宋" w:hAnsi="仿宋" w:eastAsia="仿宋" w:cs="宋体"/>
          <w:b/>
          <w:kern w:val="0"/>
          <w:sz w:val="32"/>
          <w:szCs w:val="32"/>
        </w:rPr>
        <w:t>电气工程与自动化学院</w:t>
      </w:r>
    </w:p>
    <w:p>
      <w:pPr>
        <w:jc w:val="center"/>
        <w:rPr>
          <w:rFonts w:ascii="仿宋" w:hAnsi="仿宋" w:eastAsia="仿宋"/>
          <w:b/>
          <w:sz w:val="32"/>
          <w:szCs w:val="32"/>
        </w:rPr>
      </w:pPr>
      <w:bookmarkStart w:id="0" w:name="_GoBack"/>
      <w:r>
        <w:rPr>
          <w:rFonts w:hint="eastAsia" w:ascii="仿宋" w:hAnsi="仿宋" w:eastAsia="仿宋"/>
          <w:b/>
          <w:sz w:val="32"/>
          <w:szCs w:val="32"/>
        </w:rPr>
        <w:t>大型仪器设备有偿使用开放共享清单及收费标准</w:t>
      </w:r>
    </w:p>
    <w:bookmarkEnd w:id="0"/>
    <w:p>
      <w:pPr>
        <w:jc w:val="center"/>
        <w:rPr>
          <w:rFonts w:ascii="仿宋" w:hAnsi="仿宋" w:eastAsia="仿宋" w:cs="宋体"/>
          <w:kern w:val="0"/>
          <w:sz w:val="24"/>
          <w:szCs w:val="24"/>
        </w:rPr>
      </w:pPr>
    </w:p>
    <w:tbl>
      <w:tblPr>
        <w:tblStyle w:val="4"/>
        <w:tblW w:w="15686" w:type="dxa"/>
        <w:tblInd w:w="0" w:type="dxa"/>
        <w:tblLayout w:type="fixed"/>
        <w:tblCellMar>
          <w:top w:w="0" w:type="dxa"/>
          <w:left w:w="108" w:type="dxa"/>
          <w:bottom w:w="0" w:type="dxa"/>
          <w:right w:w="108" w:type="dxa"/>
        </w:tblCellMar>
      </w:tblPr>
      <w:tblGrid>
        <w:gridCol w:w="422"/>
        <w:gridCol w:w="1032"/>
        <w:gridCol w:w="1369"/>
        <w:gridCol w:w="1756"/>
        <w:gridCol w:w="1326"/>
        <w:gridCol w:w="1019"/>
        <w:gridCol w:w="933"/>
        <w:gridCol w:w="1040"/>
        <w:gridCol w:w="1354"/>
        <w:gridCol w:w="630"/>
        <w:gridCol w:w="930"/>
        <w:gridCol w:w="694"/>
        <w:gridCol w:w="829"/>
        <w:gridCol w:w="614"/>
        <w:gridCol w:w="1738"/>
      </w:tblGrid>
      <w:tr>
        <w:tblPrEx>
          <w:tblLayout w:type="fixed"/>
          <w:tblCellMar>
            <w:top w:w="0" w:type="dxa"/>
            <w:left w:w="108" w:type="dxa"/>
            <w:bottom w:w="0" w:type="dxa"/>
            <w:right w:w="108" w:type="dxa"/>
          </w:tblCellMar>
        </w:tblPrEx>
        <w:trPr>
          <w:trHeight w:val="1359" w:hRule="atLeast"/>
        </w:trPr>
        <w:tc>
          <w:tcPr>
            <w:tcW w:w="42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序号</w:t>
            </w:r>
          </w:p>
        </w:tc>
        <w:tc>
          <w:tcPr>
            <w:tcW w:w="103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设备编号</w:t>
            </w:r>
          </w:p>
        </w:tc>
        <w:tc>
          <w:tcPr>
            <w:tcW w:w="136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设备名称</w:t>
            </w:r>
          </w:p>
        </w:tc>
        <w:tc>
          <w:tcPr>
            <w:tcW w:w="17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规格型号</w:t>
            </w:r>
          </w:p>
        </w:tc>
        <w:tc>
          <w:tcPr>
            <w:tcW w:w="132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设备价值（元）</w:t>
            </w:r>
          </w:p>
        </w:tc>
        <w:tc>
          <w:tcPr>
            <w:tcW w:w="101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功能简介</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使用项目</w:t>
            </w:r>
          </w:p>
        </w:tc>
        <w:tc>
          <w:tcPr>
            <w:tcW w:w="198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校内收费标准</w:t>
            </w:r>
          </w:p>
        </w:tc>
        <w:tc>
          <w:tcPr>
            <w:tcW w:w="93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校外收费标准</w:t>
            </w:r>
          </w:p>
        </w:tc>
        <w:tc>
          <w:tcPr>
            <w:tcW w:w="694"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水费(元/吨)</w:t>
            </w:r>
          </w:p>
        </w:tc>
        <w:tc>
          <w:tcPr>
            <w:tcW w:w="829"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电费(元/小时)</w:t>
            </w:r>
          </w:p>
        </w:tc>
        <w:tc>
          <w:tcPr>
            <w:tcW w:w="61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使用/管理单位</w:t>
            </w:r>
          </w:p>
        </w:tc>
        <w:tc>
          <w:tcPr>
            <w:tcW w:w="1738" w:type="dxa"/>
            <w:tcBorders>
              <w:top w:val="single" w:color="auto" w:sz="4" w:space="0"/>
              <w:left w:val="nil"/>
              <w:bottom w:val="single" w:color="auto" w:sz="4" w:space="0"/>
              <w:right w:val="single" w:color="auto" w:sz="4" w:space="0"/>
            </w:tcBorders>
            <w:shd w:val="clear" w:color="auto" w:fill="auto"/>
            <w:vAlign w:val="center"/>
          </w:tcPr>
          <w:p>
            <w:pPr>
              <w:widowControl/>
              <w:ind w:firstLine="354" w:firstLineChars="196"/>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备 注</w:t>
            </w:r>
          </w:p>
        </w:tc>
      </w:tr>
      <w:tr>
        <w:tblPrEx>
          <w:tblLayout w:type="fixed"/>
          <w:tblCellMar>
            <w:top w:w="0" w:type="dxa"/>
            <w:left w:w="108" w:type="dxa"/>
            <w:bottom w:w="0" w:type="dxa"/>
            <w:right w:w="108" w:type="dxa"/>
          </w:tblCellMar>
        </w:tblPrEx>
        <w:trPr>
          <w:trHeight w:val="780"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000042417</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电力设备绝缘在线检测与诊断系统</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ZJ-8</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498,000.00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电力设备绝缘在线检测与诊断</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绝缘在线监测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1250元/次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0.27</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b/>
                <w:bCs/>
                <w:color w:val="000000"/>
                <w:kern w:val="0"/>
                <w:sz w:val="18"/>
                <w:szCs w:val="18"/>
              </w:rPr>
            </w:pPr>
          </w:p>
        </w:tc>
      </w:tr>
      <w:tr>
        <w:tblPrEx>
          <w:tblLayout w:type="fixed"/>
          <w:tblCellMar>
            <w:top w:w="0" w:type="dxa"/>
            <w:left w:w="108" w:type="dxa"/>
            <w:bottom w:w="0" w:type="dxa"/>
            <w:right w:w="108" w:type="dxa"/>
          </w:tblCellMar>
        </w:tblPrEx>
        <w:trPr>
          <w:trHeight w:val="840"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000052990</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大电流温升试验设备</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HNDDL</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10000/3</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对电器设备进行大电流温升实验</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温升试验</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65</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1048"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3</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000066781</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智能化组合电器成套设备</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126KV</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940,000.00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可进行倒闸操作，气体绝缘性能测试</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模拟实验</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630" w:hRule="atLeast"/>
        </w:trPr>
        <w:tc>
          <w:tcPr>
            <w:tcW w:w="42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w:t>
            </w:r>
          </w:p>
        </w:tc>
        <w:tc>
          <w:tcPr>
            <w:tcW w:w="103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000066783</w:t>
            </w:r>
          </w:p>
        </w:tc>
        <w:tc>
          <w:tcPr>
            <w:tcW w:w="136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冲击电压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发生器成套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试验系统</w:t>
            </w:r>
          </w:p>
        </w:tc>
        <w:tc>
          <w:tcPr>
            <w:tcW w:w="175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G3000KV</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300KJ</w:t>
            </w:r>
          </w:p>
        </w:tc>
        <w:tc>
          <w:tcPr>
            <w:tcW w:w="132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1,380,000.00</w:t>
            </w:r>
          </w:p>
        </w:tc>
        <w:tc>
          <w:tcPr>
            <w:tcW w:w="101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可模拟雷电对设备产生冲击效应，考核设备绝缘性能</w:t>
            </w:r>
          </w:p>
        </w:tc>
        <w:tc>
          <w:tcPr>
            <w:tcW w:w="93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雷电</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冲击</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试验</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相对地</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645"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断口（普通）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555"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断口（联合电压）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54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雷电</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冲击</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试验（2000千伏及以上）</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相对地</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57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断口（普通）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615"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断口（联合电压）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555"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操作</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冲击</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试验</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相对地</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675"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断口（普通）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63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断口（联合电压）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57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操作</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冲击</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试验（1500千伏及以上）</w:t>
            </w: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相对地</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54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断口（普通）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75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933"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4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断口（联合电压）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1944</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3600KW*0.54元/度</w:t>
            </w:r>
          </w:p>
        </w:tc>
      </w:tr>
      <w:tr>
        <w:tblPrEx>
          <w:tblLayout w:type="fixed"/>
          <w:tblCellMar>
            <w:top w:w="0" w:type="dxa"/>
            <w:left w:w="108" w:type="dxa"/>
            <w:bottom w:w="0" w:type="dxa"/>
            <w:right w:w="108" w:type="dxa"/>
          </w:tblCellMar>
        </w:tblPrEx>
        <w:trPr>
          <w:trHeight w:val="750"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5</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000082245</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ICA软件</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ICA-ANALYZERV1.0</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365,000.00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电场仿真软件</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视使用单位而定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0.23</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软件</w:t>
            </w:r>
          </w:p>
        </w:tc>
      </w:tr>
      <w:tr>
        <w:tblPrEx>
          <w:tblLayout w:type="fixed"/>
          <w:tblCellMar>
            <w:top w:w="0" w:type="dxa"/>
            <w:left w:w="108" w:type="dxa"/>
            <w:bottom w:w="0" w:type="dxa"/>
            <w:right w:w="108" w:type="dxa"/>
          </w:tblCellMar>
        </w:tblPrEx>
        <w:trPr>
          <w:trHeight w:val="705"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000082795</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电缆运行温度及载流能力</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监测系统</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CTMS-1</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2,120,000.00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电缆运行温度及载流能力</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监测</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在线监测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1.08</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705"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000082796</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电力设备绝缘</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在线监测系统</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IMS-1</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1,150,000.00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电力设备绝缘</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在线监测</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在线监测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0.23</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705"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8</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000084174</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COMSOL软件</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V4.3b</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432,000.00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电场仿真软件</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视使用单位而定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0.23</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软件</w:t>
            </w:r>
          </w:p>
        </w:tc>
      </w:tr>
      <w:tr>
        <w:tblPrEx>
          <w:tblLayout w:type="fixed"/>
          <w:tblCellMar>
            <w:top w:w="0" w:type="dxa"/>
            <w:left w:w="108" w:type="dxa"/>
            <w:bottom w:w="0" w:type="dxa"/>
            <w:right w:w="108" w:type="dxa"/>
          </w:tblCellMar>
        </w:tblPrEx>
        <w:trPr>
          <w:trHeight w:val="645" w:hRule="atLeast"/>
        </w:trPr>
        <w:tc>
          <w:tcPr>
            <w:tcW w:w="42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9</w:t>
            </w:r>
          </w:p>
        </w:tc>
        <w:tc>
          <w:tcPr>
            <w:tcW w:w="103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000104426</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600千伏工频无局放试验变压器</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YDTCW</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798,000.00</w:t>
            </w:r>
          </w:p>
        </w:tc>
        <w:tc>
          <w:tcPr>
            <w:tcW w:w="101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可产生工频无局放高电压，考核设备绝缘性能</w:t>
            </w:r>
          </w:p>
        </w:tc>
        <w:tc>
          <w:tcPr>
            <w:tcW w:w="1973"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工频</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耐压，72s</w:t>
            </w:r>
          </w:p>
        </w:tc>
        <w:tc>
          <w:tcPr>
            <w:tcW w:w="135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相对地</w:t>
            </w:r>
          </w:p>
        </w:tc>
        <w:tc>
          <w:tcPr>
            <w:tcW w:w="6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1296</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额定功率2400KW*0.54元/度</w:t>
            </w:r>
          </w:p>
        </w:tc>
      </w:tr>
      <w:tr>
        <w:tblPrEx>
          <w:tblLayout w:type="fixed"/>
          <w:tblCellMar>
            <w:top w:w="0" w:type="dxa"/>
            <w:left w:w="108" w:type="dxa"/>
            <w:bottom w:w="0" w:type="dxa"/>
            <w:right w:w="108" w:type="dxa"/>
          </w:tblCellMar>
        </w:tblPrEx>
        <w:trPr>
          <w:trHeight w:val="57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无局部放电压器成套设备（当试验电压超过800千伏，收费标准提高1倍</w:t>
            </w:r>
          </w:p>
        </w:tc>
        <w:tc>
          <w:tcPr>
            <w:tcW w:w="175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YDTCW-2400/600</w:t>
            </w:r>
          </w:p>
        </w:tc>
        <w:tc>
          <w:tcPr>
            <w:tcW w:w="132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1,620,000.00</w:t>
            </w: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5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断口（普通）</w:t>
            </w:r>
          </w:p>
        </w:tc>
        <w:tc>
          <w:tcPr>
            <w:tcW w:w="6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1296</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额定功率2400KW*0.54元/度</w:t>
            </w:r>
          </w:p>
        </w:tc>
      </w:tr>
      <w:tr>
        <w:tblPrEx>
          <w:tblLayout w:type="fixed"/>
          <w:tblCellMar>
            <w:top w:w="0" w:type="dxa"/>
            <w:left w:w="108" w:type="dxa"/>
            <w:bottom w:w="0" w:type="dxa"/>
            <w:right w:w="108" w:type="dxa"/>
          </w:tblCellMar>
        </w:tblPrEx>
        <w:trPr>
          <w:trHeight w:val="69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5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断口（联合电压）</w:t>
            </w:r>
          </w:p>
        </w:tc>
        <w:tc>
          <w:tcPr>
            <w:tcW w:w="6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1296</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额定功率2400KW*0.54元/度</w:t>
            </w:r>
          </w:p>
        </w:tc>
      </w:tr>
      <w:tr>
        <w:tblPrEx>
          <w:tblLayout w:type="fixed"/>
          <w:tblCellMar>
            <w:top w:w="0" w:type="dxa"/>
            <w:left w:w="108" w:type="dxa"/>
            <w:bottom w:w="0" w:type="dxa"/>
            <w:right w:w="108" w:type="dxa"/>
          </w:tblCellMar>
        </w:tblPrEx>
        <w:trPr>
          <w:trHeight w:val="1305"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5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局放测量（电流注入法）@1.2*Ur/V3</w:t>
            </w:r>
          </w:p>
        </w:tc>
        <w:tc>
          <w:tcPr>
            <w:tcW w:w="6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1296</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额定功率2400KW*0.54元/度</w:t>
            </w:r>
          </w:p>
        </w:tc>
      </w:tr>
      <w:tr>
        <w:tblPrEx>
          <w:tblLayout w:type="fixed"/>
          <w:tblCellMar>
            <w:top w:w="0" w:type="dxa"/>
            <w:left w:w="108" w:type="dxa"/>
            <w:bottom w:w="0" w:type="dxa"/>
            <w:right w:w="108" w:type="dxa"/>
          </w:tblCellMar>
        </w:tblPrEx>
        <w:trPr>
          <w:trHeight w:val="57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5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局放测量（UHF法）</w:t>
            </w:r>
          </w:p>
        </w:tc>
        <w:tc>
          <w:tcPr>
            <w:tcW w:w="6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7500元/次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1296</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r>
              <w:rPr>
                <w:rFonts w:hint="eastAsia" w:ascii="仿宋" w:hAnsi="仿宋" w:eastAsia="仿宋" w:cs="宋体"/>
                <w:color w:val="000000"/>
                <w:kern w:val="0"/>
                <w:sz w:val="18"/>
                <w:szCs w:val="18"/>
              </w:rPr>
              <w:t>额定功率2400KW*0.54元/度</w:t>
            </w:r>
          </w:p>
        </w:tc>
      </w:tr>
      <w:tr>
        <w:tblPrEx>
          <w:tblLayout w:type="fixed"/>
          <w:tblCellMar>
            <w:top w:w="0" w:type="dxa"/>
            <w:left w:w="108" w:type="dxa"/>
            <w:bottom w:w="0" w:type="dxa"/>
            <w:right w:w="108" w:type="dxa"/>
          </w:tblCellMar>
        </w:tblPrEx>
        <w:trPr>
          <w:trHeight w:val="540" w:hRule="atLeast"/>
        </w:trPr>
        <w:tc>
          <w:tcPr>
            <w:tcW w:w="422"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16005895</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焊接机器人</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松下TM1400</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441,000.00</w:t>
            </w:r>
          </w:p>
        </w:tc>
        <w:tc>
          <w:tcPr>
            <w:tcW w:w="101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可供软件开放使用</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视使用单位而定</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1250元/次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3.98</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585" w:hRule="atLeast"/>
        </w:trPr>
        <w:tc>
          <w:tcPr>
            <w:tcW w:w="42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w:t>
            </w: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16006617</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电力系统全数字实时仿真系统</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RTDS PB5</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1,868,500.00</w:t>
            </w:r>
          </w:p>
        </w:tc>
        <w:tc>
          <w:tcPr>
            <w:tcW w:w="101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电力系统全数字实时仿真</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仿真实验</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2500元/次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5000元/次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0.52</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51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16006618</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模拟量放大试验平台</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ONLLY-SA6640</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110,000.00</w:t>
            </w: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仿真实验</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63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16006619</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模拟量放大试验平台</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ONLLY-SA6640</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110,000.00</w:t>
            </w: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仿真实验</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1.1</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839"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16006620</w:t>
            </w:r>
          </w:p>
        </w:tc>
        <w:tc>
          <w:tcPr>
            <w:tcW w:w="13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程控数字量模拟量一体化试验平台</w:t>
            </w:r>
          </w:p>
        </w:tc>
        <w:tc>
          <w:tcPr>
            <w:tcW w:w="17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ONLLY-</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B660</w:t>
            </w:r>
          </w:p>
        </w:tc>
        <w:tc>
          <w:tcPr>
            <w:tcW w:w="132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125,000.00</w:t>
            </w: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仿真实验</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0.16</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585" w:hRule="atLeast"/>
        </w:trPr>
        <w:tc>
          <w:tcPr>
            <w:tcW w:w="42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w:t>
            </w:r>
          </w:p>
        </w:tc>
        <w:tc>
          <w:tcPr>
            <w:tcW w:w="103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17000293</w:t>
            </w:r>
          </w:p>
        </w:tc>
        <w:tc>
          <w:tcPr>
            <w:tcW w:w="136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大电流温升</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试验系统</w:t>
            </w:r>
          </w:p>
        </w:tc>
        <w:tc>
          <w:tcPr>
            <w:tcW w:w="175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YSL-120KVA/10000A</w:t>
            </w:r>
          </w:p>
        </w:tc>
        <w:tc>
          <w:tcPr>
            <w:tcW w:w="132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678,000.00</w:t>
            </w:r>
          </w:p>
        </w:tc>
        <w:tc>
          <w:tcPr>
            <w:tcW w:w="101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对电器设备进行大电流温升实验</w:t>
            </w: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温升试验（电流5000A及以下）</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12000元/次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65</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r>
        <w:tblPrEx>
          <w:tblLayout w:type="fixed"/>
          <w:tblCellMar>
            <w:top w:w="0" w:type="dxa"/>
            <w:left w:w="108" w:type="dxa"/>
            <w:bottom w:w="0" w:type="dxa"/>
            <w:right w:w="108" w:type="dxa"/>
          </w:tblCellMar>
        </w:tblPrEx>
        <w:trPr>
          <w:trHeight w:val="630" w:hRule="atLeast"/>
        </w:trPr>
        <w:tc>
          <w:tcPr>
            <w:tcW w:w="42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32"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6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75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326" w:type="dxa"/>
            <w:vMerge w:val="continue"/>
            <w:tcBorders>
              <w:top w:val="nil"/>
              <w:left w:val="single" w:color="auto" w:sz="4" w:space="0"/>
              <w:bottom w:val="single" w:color="000000"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019"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18"/>
                <w:szCs w:val="18"/>
              </w:rPr>
            </w:pPr>
          </w:p>
        </w:tc>
        <w:tc>
          <w:tcPr>
            <w:tcW w:w="197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温升试验（电流5000A以上）</w:t>
            </w:r>
          </w:p>
        </w:tc>
        <w:tc>
          <w:tcPr>
            <w:tcW w:w="1984" w:type="dxa"/>
            <w:gridSpan w:val="2"/>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10000元/次</w:t>
            </w:r>
          </w:p>
        </w:tc>
        <w:tc>
          <w:tcPr>
            <w:tcW w:w="93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20000元/次</w:t>
            </w:r>
          </w:p>
        </w:tc>
        <w:tc>
          <w:tcPr>
            <w:tcW w:w="69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0</w:t>
            </w:r>
          </w:p>
        </w:tc>
        <w:tc>
          <w:tcPr>
            <w:tcW w:w="829"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65</w:t>
            </w:r>
          </w:p>
        </w:tc>
        <w:tc>
          <w:tcPr>
            <w:tcW w:w="614"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18"/>
                <w:szCs w:val="18"/>
              </w:rPr>
            </w:pPr>
            <w:r>
              <w:rPr>
                <w:rFonts w:hint="eastAsia" w:ascii="仿宋" w:hAnsi="仿宋" w:eastAsia="仿宋" w:cs="宋体"/>
                <w:color w:val="000000"/>
                <w:kern w:val="0"/>
                <w:sz w:val="18"/>
                <w:szCs w:val="18"/>
              </w:rPr>
              <w:t>电气学院</w:t>
            </w:r>
          </w:p>
        </w:tc>
        <w:tc>
          <w:tcPr>
            <w:tcW w:w="1738" w:type="dxa"/>
            <w:tcBorders>
              <w:top w:val="nil"/>
              <w:left w:val="nil"/>
              <w:bottom w:val="single" w:color="auto" w:sz="4" w:space="0"/>
              <w:right w:val="single" w:color="auto" w:sz="4" w:space="0"/>
            </w:tcBorders>
            <w:shd w:val="clear" w:color="auto" w:fill="auto"/>
          </w:tcPr>
          <w:p>
            <w:pPr>
              <w:widowControl/>
              <w:rPr>
                <w:rFonts w:ascii="仿宋" w:hAnsi="仿宋" w:eastAsia="仿宋" w:cs="宋体"/>
                <w:color w:val="000000"/>
                <w:kern w:val="0"/>
                <w:sz w:val="18"/>
                <w:szCs w:val="18"/>
              </w:rPr>
            </w:pPr>
          </w:p>
        </w:tc>
      </w:tr>
    </w:tbl>
    <w:p>
      <w:pPr>
        <w:rPr>
          <w:rFonts w:ascii="宋体" w:hAnsi="宋体" w:eastAsia="宋体" w:cs="宋体"/>
          <w:kern w:val="0"/>
          <w:sz w:val="24"/>
          <w:szCs w:val="24"/>
        </w:rPr>
      </w:pPr>
    </w:p>
    <w:p>
      <w:pPr>
        <w:rPr>
          <w:rFonts w:ascii="宋体" w:hAnsi="宋体" w:eastAsia="宋体" w:cs="宋体"/>
          <w:kern w:val="0"/>
          <w:sz w:val="24"/>
          <w:szCs w:val="24"/>
        </w:rPr>
      </w:pPr>
    </w:p>
    <w:p>
      <w:pPr>
        <w:rPr>
          <w:rFonts w:ascii="宋体" w:hAnsi="宋体" w:eastAsia="宋体" w:cs="宋体"/>
          <w:kern w:val="0"/>
          <w:sz w:val="24"/>
          <w:szCs w:val="24"/>
        </w:rPr>
      </w:pPr>
    </w:p>
    <w:p>
      <w:pPr>
        <w:jc w:val="center"/>
        <w:rPr>
          <w:rFonts w:ascii="宋体" w:hAnsi="宋体" w:eastAsia="宋体" w:cs="宋体"/>
          <w:kern w:val="0"/>
          <w:sz w:val="24"/>
          <w:szCs w:val="24"/>
        </w:rPr>
      </w:pPr>
      <w:r>
        <w:rPr>
          <w:rFonts w:hint="eastAsia" w:ascii="宋体" w:hAnsi="宋体" w:eastAsia="宋体" w:cs="宋体"/>
          <w:kern w:val="0"/>
          <w:sz w:val="24"/>
          <w:szCs w:val="24"/>
        </w:rPr>
        <w:drawing>
          <wp:inline distT="0" distB="0" distL="0" distR="0">
            <wp:extent cx="8736965" cy="5551170"/>
            <wp:effectExtent l="0" t="0" r="6985"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737200" cy="5551200"/>
                    </a:xfrm>
                    <a:prstGeom prst="rect">
                      <a:avLst/>
                    </a:prstGeom>
                    <a:noFill/>
                    <a:ln>
                      <a:noFill/>
                    </a:ln>
                  </pic:spPr>
                </pic:pic>
              </a:graphicData>
            </a:graphic>
          </wp:inline>
        </w:drawing>
      </w:r>
    </w:p>
    <w:p>
      <w:pPr>
        <w:rPr>
          <w:rFonts w:ascii="宋体" w:hAnsi="宋体" w:eastAsia="宋体" w:cs="宋体"/>
          <w:kern w:val="0"/>
          <w:sz w:val="24"/>
          <w:szCs w:val="24"/>
        </w:rPr>
      </w:pPr>
    </w:p>
    <w:p>
      <w:pPr>
        <w:rPr>
          <w:rFonts w:ascii="宋体" w:hAnsi="宋体" w:eastAsia="宋体" w:cs="宋体"/>
          <w:kern w:val="0"/>
          <w:sz w:val="24"/>
          <w:szCs w:val="24"/>
        </w:rPr>
      </w:pPr>
      <w:r>
        <w:rPr>
          <w:rFonts w:ascii="宋体" w:hAnsi="宋体" w:eastAsia="宋体" w:cs="宋体"/>
          <w:kern w:val="0"/>
          <w:sz w:val="24"/>
          <w:szCs w:val="24"/>
        </w:rPr>
        <w:drawing>
          <wp:inline distT="0" distB="0" distL="0" distR="0">
            <wp:extent cx="9601200" cy="444817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9601200" cy="4448175"/>
                    </a:xfrm>
                    <a:prstGeom prst="rect">
                      <a:avLst/>
                    </a:prstGeom>
                    <a:noFill/>
                    <a:ln>
                      <a:noFill/>
                    </a:ln>
                  </pic:spPr>
                </pic:pic>
              </a:graphicData>
            </a:graphic>
          </wp:inline>
        </w:drawing>
      </w:r>
    </w:p>
    <w:p>
      <w:pPr>
        <w:spacing w:line="360" w:lineRule="auto"/>
        <w:rPr>
          <w:rFonts w:asciiTheme="minorEastAsia" w:hAnsiTheme="minorEastAsia"/>
          <w:b/>
          <w:sz w:val="24"/>
          <w:szCs w:val="24"/>
        </w:rPr>
        <w:sectPr>
          <w:pgSz w:w="16838" w:h="11906" w:orient="landscape"/>
          <w:pgMar w:top="1134" w:right="851" w:bottom="567" w:left="851" w:header="851" w:footer="992" w:gutter="0"/>
          <w:cols w:space="425" w:num="1"/>
          <w:docGrid w:type="lines" w:linePitch="312" w:charSpace="0"/>
        </w:sectPr>
      </w:pPr>
    </w:p>
    <w:p>
      <w:pPr>
        <w:spacing w:line="360" w:lineRule="auto"/>
        <w:rPr>
          <w:rFonts w:asciiTheme="minorEastAsia" w:hAnsiTheme="minorEastAsia"/>
          <w:b/>
          <w:sz w:val="24"/>
          <w:szCs w:val="24"/>
        </w:rPr>
      </w:pPr>
      <w:r>
        <w:rPr>
          <w:rFonts w:hint="eastAsia" w:asciiTheme="minorEastAsia" w:hAnsiTheme="minorEastAsia"/>
          <w:b/>
          <w:sz w:val="24"/>
          <w:szCs w:val="24"/>
        </w:rPr>
        <w:t>附件二</w:t>
      </w:r>
    </w:p>
    <w:p>
      <w:pPr>
        <w:jc w:val="center"/>
        <w:rPr>
          <w:rFonts w:ascii="仿宋" w:hAnsi="仿宋" w:eastAsia="仿宋"/>
          <w:b/>
          <w:sz w:val="32"/>
          <w:szCs w:val="32"/>
        </w:rPr>
      </w:pPr>
      <w:r>
        <w:rPr>
          <w:rFonts w:hint="eastAsia" w:ascii="仿宋" w:hAnsi="仿宋" w:eastAsia="仿宋"/>
          <w:b/>
          <w:sz w:val="32"/>
          <w:szCs w:val="32"/>
        </w:rPr>
        <w:t>电气工程与自动化学院</w:t>
      </w:r>
    </w:p>
    <w:p>
      <w:pPr>
        <w:jc w:val="center"/>
        <w:rPr>
          <w:rFonts w:ascii="仿宋" w:hAnsi="仿宋" w:eastAsia="仿宋"/>
          <w:b/>
          <w:sz w:val="32"/>
          <w:szCs w:val="32"/>
        </w:rPr>
      </w:pPr>
      <w:r>
        <w:rPr>
          <w:rFonts w:hint="eastAsia" w:ascii="仿宋" w:hAnsi="仿宋" w:eastAsia="仿宋"/>
          <w:b/>
          <w:sz w:val="32"/>
          <w:szCs w:val="32"/>
        </w:rPr>
        <w:t>大型仪器设备开放共享有偿使用收入分配方案（试行）</w:t>
      </w:r>
    </w:p>
    <w:p>
      <w:pPr>
        <w:jc w:val="center"/>
        <w:rPr>
          <w:rFonts w:ascii="仿宋" w:hAnsi="仿宋" w:eastAsia="仿宋"/>
          <w:b/>
          <w:sz w:val="32"/>
          <w:szCs w:val="32"/>
        </w:rPr>
      </w:pPr>
    </w:p>
    <w:p>
      <w:pPr>
        <w:spacing w:line="360" w:lineRule="auto"/>
        <w:ind w:firstLine="640" w:firstLineChars="200"/>
        <w:rPr>
          <w:rFonts w:ascii="仿宋" w:hAnsi="仿宋" w:eastAsia="仿宋" w:cs="Arial"/>
          <w:kern w:val="0"/>
          <w:sz w:val="32"/>
          <w:szCs w:val="32"/>
        </w:rPr>
      </w:pPr>
      <w:r>
        <w:rPr>
          <w:rFonts w:hint="eastAsia" w:ascii="仿宋" w:hAnsi="仿宋" w:eastAsia="仿宋" w:cs="Arial"/>
          <w:kern w:val="0"/>
          <w:sz w:val="32"/>
          <w:szCs w:val="32"/>
        </w:rPr>
        <w:t>费用管理实行“财务收支两条线”，服务收入纳入学校预算，由学校统一管理。服务收入中的水电费及扣除水电费后剩余部分的20%上缴学校（校外大型仪器设备开放共享中水电费未由学校代扣代缴的，仪器设备管理单位按实支付后再计算服务收入），80%由电气学院（中心）支配。</w:t>
      </w:r>
    </w:p>
    <w:p>
      <w:pPr>
        <w:spacing w:line="360" w:lineRule="auto"/>
        <w:ind w:firstLine="640" w:firstLineChars="200"/>
        <w:rPr>
          <w:rFonts w:ascii="仿宋" w:hAnsi="仿宋" w:eastAsia="仿宋" w:cs="Arial"/>
          <w:kern w:val="0"/>
          <w:sz w:val="32"/>
          <w:szCs w:val="32"/>
        </w:rPr>
      </w:pPr>
      <w:r>
        <w:rPr>
          <w:rFonts w:hint="eastAsia" w:ascii="仿宋" w:hAnsi="仿宋" w:eastAsia="仿宋" w:cs="Arial"/>
          <w:kern w:val="0"/>
          <w:sz w:val="32"/>
          <w:szCs w:val="32"/>
        </w:rPr>
        <w:t>电气学院支配部分的30%用于预留设备购置及升级改造费用，30%用于仪器设备的维修维护、实验耗材的采购，40%用于临时用工劳务费（如必须聘用校外专职临时用工人员，设备管理使用单位在其制定的实施细则中可适当增加此项所占比例，其他项所占比例适当降低。此事须经校长办公会议审定后方可实施）、专家咨询费、培训费、人员专项绩效奖励等[该项绩效奖励，可纳入二级学院绩效分配方案，统一分配]。</w:t>
      </w:r>
    </w:p>
    <w:p>
      <w:pPr>
        <w:spacing w:line="360" w:lineRule="auto"/>
        <w:rPr>
          <w:rFonts w:ascii="仿宋" w:hAnsi="仿宋" w:eastAsia="仿宋" w:cs="Arial"/>
          <w:kern w:val="0"/>
          <w:sz w:val="32"/>
          <w:szCs w:val="32"/>
        </w:rPr>
      </w:pPr>
      <w:r>
        <w:rPr>
          <w:rFonts w:hint="eastAsia" w:ascii="仿宋" w:hAnsi="仿宋" w:eastAsia="仿宋" w:cs="Arial"/>
          <w:kern w:val="0"/>
          <w:sz w:val="32"/>
          <w:szCs w:val="32"/>
        </w:rPr>
        <w:t>有偿使用收入分配及签字审批管理程序如下：</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43"/>
        <w:gridCol w:w="4678"/>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序号</w:t>
            </w:r>
          </w:p>
        </w:tc>
        <w:tc>
          <w:tcPr>
            <w:tcW w:w="1843" w:type="dxa"/>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分配类别</w:t>
            </w:r>
          </w:p>
        </w:tc>
        <w:tc>
          <w:tcPr>
            <w:tcW w:w="4678" w:type="dxa"/>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用途</w:t>
            </w:r>
          </w:p>
        </w:tc>
        <w:tc>
          <w:tcPr>
            <w:tcW w:w="1326" w:type="dxa"/>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分配比例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1</w:t>
            </w:r>
          </w:p>
        </w:tc>
        <w:tc>
          <w:tcPr>
            <w:tcW w:w="1843"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设备维修维护支出</w:t>
            </w:r>
          </w:p>
        </w:tc>
        <w:tc>
          <w:tcPr>
            <w:tcW w:w="4678"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主要用于大型仪器设备的维护、维修、功能开发、升级改造，其中用于维修、功能开发和升级改造的费用不低于该项的50%。</w:t>
            </w:r>
          </w:p>
        </w:tc>
        <w:tc>
          <w:tcPr>
            <w:tcW w:w="1326" w:type="dxa"/>
            <w:vAlign w:val="center"/>
          </w:tcPr>
          <w:p>
            <w:pPr>
              <w:jc w:val="center"/>
              <w:rPr>
                <w:rFonts w:ascii="仿宋" w:hAnsi="仿宋" w:eastAsia="仿宋" w:cs="Times New Roman"/>
                <w:sz w:val="32"/>
                <w:szCs w:val="32"/>
              </w:rPr>
            </w:pPr>
            <w:r>
              <w:rPr>
                <w:rFonts w:ascii="仿宋" w:hAnsi="仿宋" w:eastAsia="仿宋" w:cs="Times New Roman"/>
                <w:sz w:val="32"/>
                <w:szCs w:val="3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2</w:t>
            </w:r>
          </w:p>
        </w:tc>
        <w:tc>
          <w:tcPr>
            <w:tcW w:w="1843"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实验耗材采购</w:t>
            </w:r>
          </w:p>
        </w:tc>
        <w:tc>
          <w:tcPr>
            <w:tcW w:w="4678"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日常运行所需的实验耗材、印刷费、水电费等日常支出费用</w:t>
            </w:r>
          </w:p>
        </w:tc>
        <w:tc>
          <w:tcPr>
            <w:tcW w:w="1326" w:type="dxa"/>
            <w:vAlign w:val="center"/>
          </w:tcPr>
          <w:p>
            <w:pPr>
              <w:jc w:val="center"/>
              <w:rPr>
                <w:rFonts w:ascii="仿宋" w:hAnsi="仿宋" w:eastAsia="仿宋" w:cs="Times New Roman"/>
                <w:sz w:val="32"/>
                <w:szCs w:val="32"/>
              </w:rPr>
            </w:pPr>
            <w:r>
              <w:rPr>
                <w:rFonts w:ascii="仿宋" w:hAnsi="仿宋" w:eastAsia="仿宋" w:cs="Times New Roman"/>
                <w:sz w:val="32"/>
                <w:szCs w:val="3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3</w:t>
            </w:r>
          </w:p>
        </w:tc>
        <w:tc>
          <w:tcPr>
            <w:tcW w:w="1843"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劳务支出</w:t>
            </w:r>
          </w:p>
        </w:tc>
        <w:tc>
          <w:tcPr>
            <w:tcW w:w="4678"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主要用于校外专职临时用工人员的劳务费、专家咨询费</w:t>
            </w:r>
          </w:p>
        </w:tc>
        <w:tc>
          <w:tcPr>
            <w:tcW w:w="1326" w:type="dxa"/>
            <w:vAlign w:val="center"/>
          </w:tcPr>
          <w:p>
            <w:pPr>
              <w:jc w:val="center"/>
              <w:rPr>
                <w:rFonts w:ascii="仿宋" w:hAnsi="仿宋" w:eastAsia="仿宋" w:cs="Times New Roman"/>
                <w:sz w:val="32"/>
                <w:szCs w:val="32"/>
              </w:rPr>
            </w:pPr>
            <w:r>
              <w:rPr>
                <w:rFonts w:ascii="仿宋" w:hAnsi="仿宋" w:eastAsia="仿宋" w:cs="Times New Roman"/>
                <w:sz w:val="32"/>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4</w:t>
            </w:r>
          </w:p>
        </w:tc>
        <w:tc>
          <w:tcPr>
            <w:tcW w:w="1843"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管理人员培训支出</w:t>
            </w:r>
          </w:p>
        </w:tc>
        <w:tc>
          <w:tcPr>
            <w:tcW w:w="4678"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主要用于管理人员技术培训</w:t>
            </w:r>
          </w:p>
        </w:tc>
        <w:tc>
          <w:tcPr>
            <w:tcW w:w="1326" w:type="dxa"/>
            <w:vAlign w:val="center"/>
          </w:tcPr>
          <w:p>
            <w:pPr>
              <w:jc w:val="center"/>
              <w:rPr>
                <w:rFonts w:ascii="仿宋" w:hAnsi="仿宋" w:eastAsia="仿宋" w:cs="Times New Roman"/>
                <w:sz w:val="32"/>
                <w:szCs w:val="32"/>
              </w:rPr>
            </w:pPr>
            <w:r>
              <w:rPr>
                <w:rFonts w:ascii="仿宋" w:hAnsi="仿宋" w:eastAsia="仿宋" w:cs="Times New Roman"/>
                <w:sz w:val="32"/>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5</w:t>
            </w:r>
          </w:p>
        </w:tc>
        <w:tc>
          <w:tcPr>
            <w:tcW w:w="1843"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绩效奖励</w:t>
            </w:r>
          </w:p>
        </w:tc>
        <w:tc>
          <w:tcPr>
            <w:tcW w:w="4678"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主要用于人员专项绩效</w:t>
            </w:r>
          </w:p>
        </w:tc>
        <w:tc>
          <w:tcPr>
            <w:tcW w:w="1326" w:type="dxa"/>
            <w:vAlign w:val="center"/>
          </w:tcPr>
          <w:p>
            <w:pPr>
              <w:jc w:val="center"/>
              <w:rPr>
                <w:rFonts w:ascii="仿宋" w:hAnsi="仿宋" w:eastAsia="仿宋" w:cs="Times New Roman"/>
                <w:sz w:val="32"/>
                <w:szCs w:val="32"/>
              </w:rPr>
            </w:pPr>
            <w:r>
              <w:rPr>
                <w:rFonts w:ascii="仿宋" w:hAnsi="仿宋" w:eastAsia="仿宋" w:cs="Times New Roman"/>
                <w:sz w:val="32"/>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spacing w:line="360" w:lineRule="auto"/>
              <w:jc w:val="center"/>
              <w:rPr>
                <w:rFonts w:ascii="仿宋" w:hAnsi="仿宋" w:eastAsia="仿宋" w:cs="Arial"/>
                <w:kern w:val="0"/>
                <w:sz w:val="32"/>
                <w:szCs w:val="32"/>
              </w:rPr>
            </w:pPr>
            <w:r>
              <w:rPr>
                <w:rFonts w:hint="eastAsia" w:ascii="仿宋" w:hAnsi="仿宋" w:eastAsia="仿宋" w:cs="Arial"/>
                <w:kern w:val="0"/>
                <w:sz w:val="32"/>
                <w:szCs w:val="32"/>
              </w:rPr>
              <w:t>6</w:t>
            </w:r>
          </w:p>
        </w:tc>
        <w:tc>
          <w:tcPr>
            <w:tcW w:w="1843"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其他支出</w:t>
            </w:r>
          </w:p>
        </w:tc>
        <w:tc>
          <w:tcPr>
            <w:tcW w:w="4678" w:type="dxa"/>
            <w:vAlign w:val="center"/>
          </w:tcPr>
          <w:p>
            <w:pPr>
              <w:spacing w:line="360" w:lineRule="auto"/>
              <w:rPr>
                <w:rFonts w:ascii="仿宋" w:hAnsi="仿宋" w:eastAsia="仿宋" w:cs="Arial"/>
                <w:kern w:val="0"/>
                <w:sz w:val="32"/>
                <w:szCs w:val="32"/>
              </w:rPr>
            </w:pPr>
            <w:r>
              <w:rPr>
                <w:rFonts w:hint="eastAsia" w:ascii="仿宋" w:hAnsi="仿宋" w:eastAsia="仿宋" w:cs="Arial"/>
                <w:kern w:val="0"/>
                <w:sz w:val="32"/>
                <w:szCs w:val="32"/>
              </w:rPr>
              <w:t>技术服务等其他费用</w:t>
            </w:r>
          </w:p>
        </w:tc>
        <w:tc>
          <w:tcPr>
            <w:tcW w:w="1326" w:type="dxa"/>
            <w:vAlign w:val="center"/>
          </w:tcPr>
          <w:p>
            <w:pPr>
              <w:jc w:val="center"/>
              <w:rPr>
                <w:rFonts w:ascii="仿宋" w:hAnsi="仿宋" w:eastAsia="仿宋" w:cs="Times New Roman"/>
                <w:sz w:val="32"/>
                <w:szCs w:val="32"/>
              </w:rPr>
            </w:pPr>
            <w:r>
              <w:rPr>
                <w:rFonts w:ascii="仿宋" w:hAnsi="仿宋" w:eastAsia="仿宋" w:cs="Times New Roman"/>
                <w:sz w:val="32"/>
                <w:szCs w:val="32"/>
              </w:rPr>
              <w:t>10%</w:t>
            </w:r>
          </w:p>
        </w:tc>
      </w:tr>
    </w:tbl>
    <w:p>
      <w:pPr>
        <w:spacing w:before="240" w:line="360" w:lineRule="auto"/>
        <w:rPr>
          <w:rFonts w:ascii="仿宋" w:hAnsi="仿宋" w:eastAsia="仿宋" w:cs="Arial"/>
          <w:kern w:val="0"/>
          <w:sz w:val="32"/>
          <w:szCs w:val="32"/>
        </w:rPr>
      </w:pPr>
      <w:r>
        <w:rPr>
          <w:rFonts w:hint="eastAsia" w:ascii="仿宋" w:hAnsi="仿宋" w:eastAsia="仿宋" w:cs="Arial"/>
          <w:kern w:val="0"/>
          <w:sz w:val="32"/>
          <w:szCs w:val="32"/>
        </w:rPr>
        <w:t>注：大型仪器设备有偿使用收入每学年分配一次。</w:t>
      </w:r>
    </w:p>
    <w:p>
      <w:pPr>
        <w:widowControl/>
        <w:jc w:val="left"/>
        <w:rPr>
          <w:rFonts w:cs="Arial" w:asciiTheme="minorEastAsia" w:hAnsiTheme="minorEastAsia"/>
          <w:kern w:val="0"/>
          <w:sz w:val="24"/>
          <w:szCs w:val="24"/>
        </w:rPr>
      </w:pPr>
      <w:r>
        <w:rPr>
          <w:rFonts w:cs="Arial" w:asciiTheme="minorEastAsia" w:hAnsiTheme="minorEastAsia"/>
          <w:kern w:val="0"/>
          <w:sz w:val="24"/>
          <w:szCs w:val="24"/>
        </w:rPr>
        <w:br w:type="page"/>
      </w:r>
    </w:p>
    <w:p>
      <w:pPr>
        <w:spacing w:line="360" w:lineRule="auto"/>
        <w:rPr>
          <w:rFonts w:asciiTheme="minorEastAsia" w:hAnsiTheme="minorEastAsia"/>
          <w:b/>
          <w:sz w:val="24"/>
          <w:szCs w:val="24"/>
        </w:rPr>
      </w:pPr>
      <w:r>
        <w:rPr>
          <w:rFonts w:hint="eastAsia" w:asciiTheme="minorEastAsia" w:hAnsiTheme="minorEastAsia"/>
          <w:b/>
          <w:sz w:val="24"/>
          <w:szCs w:val="24"/>
        </w:rPr>
        <w:t>附件三</w:t>
      </w:r>
    </w:p>
    <w:p>
      <w:pPr>
        <w:jc w:val="center"/>
        <w:rPr>
          <w:rFonts w:ascii="仿宋" w:hAnsi="仿宋" w:eastAsia="仿宋"/>
          <w:b/>
          <w:sz w:val="32"/>
          <w:szCs w:val="32"/>
        </w:rPr>
      </w:pPr>
      <w:r>
        <w:rPr>
          <w:rFonts w:hint="eastAsia" w:ascii="仿宋" w:hAnsi="仿宋" w:eastAsia="仿宋"/>
          <w:b/>
          <w:sz w:val="32"/>
          <w:szCs w:val="32"/>
        </w:rPr>
        <w:t>电气工程与自动化学院</w:t>
      </w:r>
    </w:p>
    <w:p>
      <w:pPr>
        <w:jc w:val="center"/>
        <w:rPr>
          <w:rFonts w:ascii="仿宋" w:hAnsi="仿宋" w:eastAsia="仿宋"/>
          <w:b/>
          <w:sz w:val="32"/>
          <w:szCs w:val="32"/>
        </w:rPr>
      </w:pPr>
      <w:r>
        <w:rPr>
          <w:rFonts w:hint="eastAsia" w:ascii="仿宋" w:hAnsi="仿宋" w:eastAsia="仿宋"/>
          <w:b/>
          <w:sz w:val="32"/>
          <w:szCs w:val="32"/>
        </w:rPr>
        <w:t>大型仪器设备维修管理办法（试行）</w:t>
      </w:r>
    </w:p>
    <w:p>
      <w:pPr>
        <w:jc w:val="center"/>
        <w:rPr>
          <w:rFonts w:ascii="仿宋" w:hAnsi="仿宋" w:eastAsia="仿宋"/>
          <w:b/>
          <w:sz w:val="32"/>
          <w:szCs w:val="32"/>
        </w:rPr>
      </w:pPr>
    </w:p>
    <w:p>
      <w:pPr>
        <w:widowControl/>
        <w:shd w:val="clear" w:color="auto" w:fill="FFFFFF"/>
        <w:spacing w:line="360" w:lineRule="auto"/>
        <w:ind w:firstLine="630" w:firstLineChars="196"/>
        <w:jc w:val="left"/>
        <w:rPr>
          <w:rFonts w:ascii="仿宋" w:hAnsi="仿宋" w:eastAsia="仿宋" w:cs="宋体"/>
          <w:b/>
          <w:kern w:val="0"/>
          <w:sz w:val="32"/>
          <w:szCs w:val="32"/>
        </w:rPr>
      </w:pPr>
      <w:r>
        <w:rPr>
          <w:rFonts w:hint="eastAsia" w:ascii="仿宋" w:hAnsi="仿宋" w:eastAsia="仿宋" w:cs="宋体"/>
          <w:b/>
          <w:kern w:val="0"/>
          <w:sz w:val="32"/>
          <w:szCs w:val="32"/>
        </w:rPr>
        <w:t>一、总则</w:t>
      </w:r>
    </w:p>
    <w:p>
      <w:pPr>
        <w:widowControl/>
        <w:shd w:val="clear" w:color="auto" w:fill="FFFFFF"/>
        <w:spacing w:line="360" w:lineRule="auto"/>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大型仪器设备的维护和维修是保证教学、科研等工作正常进行的一个重要环节，应当坚持勤俭节约、修旧利废的原则，及时做好大型仪器设备的维护和维修工作，确保仪器设备处于完好可用状态。</w:t>
      </w:r>
    </w:p>
    <w:p>
      <w:pPr>
        <w:widowControl/>
        <w:shd w:val="clear" w:color="auto" w:fill="FFFFFF"/>
        <w:spacing w:line="360" w:lineRule="auto"/>
        <w:ind w:firstLine="639" w:firstLineChars="199"/>
        <w:jc w:val="left"/>
        <w:rPr>
          <w:rFonts w:ascii="仿宋" w:hAnsi="仿宋" w:eastAsia="仿宋" w:cs="宋体"/>
          <w:b/>
          <w:kern w:val="0"/>
          <w:sz w:val="32"/>
          <w:szCs w:val="32"/>
        </w:rPr>
      </w:pPr>
      <w:r>
        <w:rPr>
          <w:rFonts w:hint="eastAsia" w:ascii="仿宋" w:hAnsi="仿宋" w:eastAsia="仿宋" w:cs="宋体"/>
          <w:b/>
          <w:kern w:val="0"/>
          <w:sz w:val="32"/>
          <w:szCs w:val="32"/>
        </w:rPr>
        <w:t>二、维修要求</w:t>
      </w:r>
    </w:p>
    <w:p>
      <w:pPr>
        <w:widowControl/>
        <w:shd w:val="clear" w:color="auto" w:fill="FFFFFF"/>
        <w:spacing w:line="360" w:lineRule="auto"/>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及时、高效，维修到位、解决问题，质优价廉。</w:t>
      </w:r>
    </w:p>
    <w:p>
      <w:pPr>
        <w:widowControl/>
        <w:shd w:val="clear" w:color="auto" w:fill="FFFFFF"/>
        <w:spacing w:line="360" w:lineRule="auto"/>
        <w:ind w:firstLine="639" w:firstLineChars="199"/>
        <w:jc w:val="left"/>
        <w:rPr>
          <w:rFonts w:ascii="仿宋" w:hAnsi="仿宋" w:eastAsia="仿宋" w:cs="宋体"/>
          <w:b/>
          <w:kern w:val="0"/>
          <w:sz w:val="32"/>
          <w:szCs w:val="32"/>
        </w:rPr>
      </w:pPr>
      <w:r>
        <w:rPr>
          <w:rFonts w:hint="eastAsia" w:ascii="仿宋" w:hAnsi="仿宋" w:eastAsia="仿宋" w:cs="宋体"/>
          <w:b/>
          <w:kern w:val="0"/>
          <w:sz w:val="32"/>
          <w:szCs w:val="32"/>
        </w:rPr>
        <w:t>三、联系维修、签订协议</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（一）仪器设备发生故障时，操作人员应立即停用，并采取措施防止故障扩大，要实地查明并记录原因，确实需要维修的，与管理员一道共同提出维修方案。</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（二）对于仪器故障，自己能够维修的自己维修，自己不能够或不允许自己维修的立即联系仪器厂商维修工程师。</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（三） 及时与仪器厂家工程师取得联系，提出维修内容，与对方商谈价格、签订协议、约好时间，以最低价格、最快速度维修好仪器。</w:t>
      </w:r>
    </w:p>
    <w:p>
      <w:pPr>
        <w:widowControl/>
        <w:shd w:val="clear" w:color="auto" w:fill="FFFFFF"/>
        <w:spacing w:line="360" w:lineRule="auto"/>
        <w:ind w:firstLine="643" w:firstLineChars="200"/>
        <w:jc w:val="left"/>
        <w:rPr>
          <w:rFonts w:ascii="仿宋" w:hAnsi="仿宋" w:eastAsia="仿宋" w:cs="宋体"/>
          <w:b/>
          <w:kern w:val="0"/>
          <w:sz w:val="32"/>
          <w:szCs w:val="32"/>
        </w:rPr>
      </w:pPr>
      <w:r>
        <w:rPr>
          <w:rFonts w:hint="eastAsia" w:ascii="仿宋" w:hAnsi="仿宋" w:eastAsia="仿宋" w:cs="宋体"/>
          <w:b/>
          <w:kern w:val="0"/>
          <w:sz w:val="32"/>
          <w:szCs w:val="32"/>
        </w:rPr>
        <w:t>四、申请及审批</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仪器管理人员填写《电气工程与自动化学院大型仪器设备维修申请表》，按下列规定进行审核、审批：</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（一）费用在5000元以上，经中心主任、分管院长和院长审批后进行维修。</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（二）费用在5000元以下，经中心主任、分管院长审批后进行维修。</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（三）需要上报学校的，按学校有关规定，报有关部门审批。</w:t>
      </w:r>
    </w:p>
    <w:p>
      <w:pPr>
        <w:widowControl/>
        <w:shd w:val="clear" w:color="auto" w:fill="FFFFFF"/>
        <w:spacing w:line="360" w:lineRule="auto"/>
        <w:ind w:firstLine="480"/>
        <w:jc w:val="left"/>
        <w:rPr>
          <w:rFonts w:ascii="仿宋" w:hAnsi="仿宋" w:eastAsia="仿宋" w:cs="宋体"/>
          <w:b/>
          <w:kern w:val="0"/>
          <w:sz w:val="32"/>
          <w:szCs w:val="32"/>
        </w:rPr>
      </w:pPr>
      <w:r>
        <w:rPr>
          <w:rFonts w:hint="eastAsia" w:ascii="仿宋" w:hAnsi="仿宋" w:eastAsia="仿宋" w:cs="宋体"/>
          <w:b/>
          <w:kern w:val="0"/>
          <w:sz w:val="32"/>
          <w:szCs w:val="32"/>
        </w:rPr>
        <w:t>五、招标</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维修预算金额超过一定金额的维修项目，能够进行招标的，必要时需进行招标。</w:t>
      </w:r>
    </w:p>
    <w:p>
      <w:pPr>
        <w:widowControl/>
        <w:shd w:val="clear" w:color="auto" w:fill="FFFFFF"/>
        <w:spacing w:line="360" w:lineRule="auto"/>
        <w:ind w:firstLine="480"/>
        <w:jc w:val="left"/>
        <w:rPr>
          <w:rFonts w:ascii="仿宋" w:hAnsi="仿宋" w:eastAsia="仿宋" w:cs="宋体"/>
          <w:b/>
          <w:kern w:val="0"/>
          <w:sz w:val="32"/>
          <w:szCs w:val="32"/>
        </w:rPr>
      </w:pPr>
      <w:r>
        <w:rPr>
          <w:rFonts w:hint="eastAsia" w:ascii="仿宋" w:hAnsi="仿宋" w:eastAsia="仿宋" w:cs="宋体"/>
          <w:b/>
          <w:kern w:val="0"/>
          <w:sz w:val="32"/>
          <w:szCs w:val="32"/>
        </w:rPr>
        <w:t>六、记录</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在仪器设备维修过程中，要及时进行维修登记，注明设备故障情况、损坏日期、保修时间、修复情况、取回日期等主要内容，并跟踪维修后的运行情况，做好记录。</w:t>
      </w:r>
    </w:p>
    <w:p>
      <w:pPr>
        <w:widowControl/>
        <w:shd w:val="clear" w:color="auto" w:fill="FFFFFF"/>
        <w:spacing w:line="360" w:lineRule="auto"/>
        <w:ind w:firstLine="480"/>
        <w:jc w:val="left"/>
        <w:rPr>
          <w:rFonts w:ascii="仿宋" w:hAnsi="仿宋" w:eastAsia="仿宋" w:cs="宋体"/>
          <w:b/>
          <w:kern w:val="0"/>
          <w:sz w:val="32"/>
          <w:szCs w:val="32"/>
        </w:rPr>
      </w:pPr>
      <w:r>
        <w:rPr>
          <w:rFonts w:hint="eastAsia" w:ascii="仿宋" w:hAnsi="仿宋" w:eastAsia="仿宋" w:cs="宋体"/>
          <w:b/>
          <w:kern w:val="0"/>
          <w:sz w:val="32"/>
          <w:szCs w:val="32"/>
        </w:rPr>
        <w:t>七、验收</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（一）仪器设备维修完毕，由2名以上设备管理员及资产管理员联合验收。验收合格后出具验收报告，并附上维修人员提供的维修报告。</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（二）验收报告经设备管理人、中心主任及分管院长签字后方可支付维修费用。</w:t>
      </w:r>
    </w:p>
    <w:p>
      <w:pPr>
        <w:widowControl/>
        <w:shd w:val="clear" w:color="auto" w:fill="FFFFFF"/>
        <w:spacing w:line="360" w:lineRule="auto"/>
        <w:ind w:firstLine="480"/>
        <w:jc w:val="left"/>
        <w:rPr>
          <w:rFonts w:ascii="仿宋" w:hAnsi="仿宋" w:eastAsia="仿宋" w:cs="宋体"/>
          <w:kern w:val="0"/>
          <w:sz w:val="32"/>
          <w:szCs w:val="32"/>
        </w:rPr>
      </w:pPr>
      <w:r>
        <w:rPr>
          <w:rFonts w:hint="eastAsia" w:ascii="仿宋" w:hAnsi="仿宋" w:eastAsia="仿宋" w:cs="宋体"/>
          <w:kern w:val="0"/>
          <w:sz w:val="32"/>
          <w:szCs w:val="32"/>
        </w:rPr>
        <w:t>（三）维修结束后，申请表、维修报告和验收报告作为仪器档案存档。</w:t>
      </w:r>
    </w:p>
    <w:p>
      <w:pPr>
        <w:rPr>
          <w:rFonts w:ascii="仿宋" w:hAnsi="仿宋" w:eastAsia="仿宋"/>
          <w:b/>
          <w:sz w:val="32"/>
          <w:szCs w:val="32"/>
        </w:rPr>
      </w:pPr>
    </w:p>
    <w:p>
      <w:pPr>
        <w:rPr>
          <w:rFonts w:ascii="仿宋" w:hAnsi="仿宋" w:eastAsia="仿宋"/>
          <w:b/>
          <w:sz w:val="32"/>
          <w:szCs w:val="32"/>
        </w:rPr>
      </w:pPr>
    </w:p>
    <w:p>
      <w:pPr>
        <w:jc w:val="right"/>
        <w:rPr>
          <w:rFonts w:ascii="仿宋" w:hAnsi="仿宋" w:eastAsia="仿宋"/>
          <w:sz w:val="32"/>
          <w:szCs w:val="32"/>
        </w:rPr>
      </w:pPr>
      <w:r>
        <w:rPr>
          <w:rFonts w:hint="eastAsia" w:ascii="仿宋" w:hAnsi="仿宋" w:eastAsia="仿宋"/>
          <w:sz w:val="32"/>
          <w:szCs w:val="32"/>
        </w:rPr>
        <w:t>电气工程与自动化学院</w:t>
      </w:r>
    </w:p>
    <w:p>
      <w:pPr>
        <w:jc w:val="right"/>
        <w:rPr>
          <w:rFonts w:ascii="仿宋" w:hAnsi="仿宋" w:eastAsia="仿宋"/>
          <w:sz w:val="32"/>
          <w:szCs w:val="32"/>
        </w:rPr>
      </w:pPr>
      <w:r>
        <w:rPr>
          <w:rFonts w:hint="eastAsia" w:ascii="仿宋" w:hAnsi="仿宋" w:eastAsia="仿宋"/>
          <w:sz w:val="32"/>
          <w:szCs w:val="32"/>
        </w:rPr>
        <w:t>2017年6月20日</w:t>
      </w: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rPr>
          <w:rFonts w:ascii="仿宋" w:hAnsi="仿宋" w:eastAsia="仿宋"/>
          <w:b/>
          <w:sz w:val="32"/>
          <w:szCs w:val="32"/>
        </w:rPr>
      </w:pPr>
    </w:p>
    <w:p>
      <w:pPr>
        <w:spacing w:after="240"/>
        <w:jc w:val="center"/>
        <w:rPr>
          <w:rFonts w:ascii="仿宋" w:hAnsi="仿宋" w:eastAsia="仿宋"/>
          <w:b/>
          <w:sz w:val="32"/>
          <w:szCs w:val="32"/>
        </w:rPr>
      </w:pPr>
      <w:r>
        <w:rPr>
          <w:rFonts w:hint="eastAsia" w:ascii="仿宋" w:hAnsi="仿宋" w:eastAsia="仿宋"/>
          <w:b/>
          <w:sz w:val="32"/>
          <w:szCs w:val="32"/>
        </w:rPr>
        <w:t>电气工程与自动化学院</w:t>
      </w:r>
    </w:p>
    <w:p>
      <w:pPr>
        <w:spacing w:after="240"/>
        <w:jc w:val="center"/>
        <w:rPr>
          <w:rFonts w:ascii="仿宋" w:hAnsi="仿宋" w:eastAsia="仿宋"/>
          <w:b/>
          <w:sz w:val="32"/>
          <w:szCs w:val="32"/>
        </w:rPr>
      </w:pPr>
      <w:r>
        <w:rPr>
          <w:rFonts w:hint="eastAsia" w:ascii="仿宋" w:hAnsi="仿宋" w:eastAsia="仿宋"/>
          <w:b/>
          <w:sz w:val="32"/>
          <w:szCs w:val="32"/>
        </w:rPr>
        <w:t>大型仪器设备使用管理规定</w:t>
      </w:r>
    </w:p>
    <w:p>
      <w:pPr>
        <w:widowControl/>
        <w:shd w:val="clear" w:color="auto" w:fill="FFFFFF"/>
        <w:spacing w:line="360" w:lineRule="auto"/>
        <w:ind w:firstLine="581" w:firstLineChars="181"/>
        <w:jc w:val="left"/>
        <w:rPr>
          <w:rFonts w:ascii="仿宋" w:hAnsi="仿宋" w:eastAsia="仿宋" w:cs="宋体"/>
          <w:b/>
          <w:kern w:val="0"/>
          <w:sz w:val="32"/>
          <w:szCs w:val="32"/>
        </w:rPr>
      </w:pPr>
      <w:r>
        <w:rPr>
          <w:rFonts w:hint="eastAsia" w:ascii="仿宋" w:hAnsi="仿宋" w:eastAsia="仿宋" w:cs="宋体"/>
          <w:b/>
          <w:kern w:val="0"/>
          <w:sz w:val="32"/>
          <w:szCs w:val="32"/>
        </w:rPr>
        <w:t>一、网上预约使用规定</w:t>
      </w:r>
    </w:p>
    <w:p>
      <w:pPr>
        <w:widowControl/>
        <w:shd w:val="clear" w:color="auto" w:fill="FFFFFF"/>
        <w:spacing w:line="360" w:lineRule="auto"/>
        <w:ind w:left="-141" w:leftChars="-67" w:right="-197" w:rightChars="-94" w:firstLine="422"/>
        <w:jc w:val="left"/>
        <w:rPr>
          <w:rFonts w:ascii="仿宋" w:hAnsi="仿宋" w:eastAsia="仿宋" w:cs="宋体"/>
          <w:kern w:val="0"/>
          <w:sz w:val="32"/>
          <w:szCs w:val="32"/>
        </w:rPr>
      </w:pPr>
      <w:r>
        <w:rPr>
          <w:rFonts w:hint="eastAsia" w:ascii="仿宋" w:hAnsi="仿宋" w:eastAsia="仿宋" w:cs="宋体"/>
          <w:kern w:val="0"/>
          <w:sz w:val="32"/>
          <w:szCs w:val="32"/>
        </w:rPr>
        <w:t>（一）所有人员使用需先在学校的开放共享服务网络信息系统平台上进行网上预约，没有预约不能使用。</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（二）对于使用率高的仪器，为了使其他人员有使用的时间和机会，有预约时间及数量限制。</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（三）使用者预约后，应该按照预约的时间段进行使用。</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（四）使用者预约后，允许提前一天取消，如不取消预约又不按时使用者，前两次警告，第三次将停止该使用者及其机构的使用权2个月。</w:t>
      </w:r>
    </w:p>
    <w:p>
      <w:pPr>
        <w:widowControl/>
        <w:shd w:val="clear" w:color="auto" w:fill="FFFFFF"/>
        <w:spacing w:line="360" w:lineRule="auto"/>
        <w:ind w:firstLine="581" w:firstLineChars="181"/>
        <w:jc w:val="left"/>
        <w:rPr>
          <w:rFonts w:ascii="仿宋" w:hAnsi="仿宋" w:eastAsia="仿宋" w:cs="宋体"/>
          <w:b/>
          <w:kern w:val="0"/>
          <w:sz w:val="32"/>
          <w:szCs w:val="32"/>
        </w:rPr>
      </w:pPr>
      <w:r>
        <w:rPr>
          <w:rFonts w:hint="eastAsia" w:ascii="仿宋" w:hAnsi="仿宋" w:eastAsia="仿宋" w:cs="宋体"/>
          <w:b/>
          <w:kern w:val="0"/>
          <w:sz w:val="32"/>
          <w:szCs w:val="32"/>
        </w:rPr>
        <w:t>二、使用时间</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（一）所有使用原则上安排在上班时间。</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（二）如使用者确实急需使用，在征得仪器管理人员同意后，可预约加班使用时间。</w:t>
      </w:r>
    </w:p>
    <w:p>
      <w:pPr>
        <w:widowControl/>
        <w:shd w:val="clear" w:color="auto" w:fill="FFFFFF"/>
        <w:spacing w:line="360" w:lineRule="auto"/>
        <w:ind w:firstLine="581" w:firstLineChars="181"/>
        <w:jc w:val="left"/>
        <w:rPr>
          <w:rFonts w:ascii="仿宋" w:hAnsi="仿宋" w:eastAsia="仿宋" w:cs="宋体"/>
          <w:b/>
          <w:kern w:val="0"/>
          <w:sz w:val="32"/>
          <w:szCs w:val="32"/>
        </w:rPr>
      </w:pPr>
      <w:r>
        <w:rPr>
          <w:rFonts w:hint="eastAsia" w:ascii="仿宋" w:hAnsi="仿宋" w:eastAsia="仿宋" w:cs="宋体"/>
          <w:b/>
          <w:kern w:val="0"/>
          <w:sz w:val="32"/>
          <w:szCs w:val="32"/>
        </w:rPr>
        <w:t>三、试/样品的前处理</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（一）仪器管理人员对不同仪器使用试/样品的前处理提出具体要求，使用人需自行对试/样品进行前处理。</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（二）确实需要仪器管理人员进行样品前处理的，将视试/样品处理的复杂性、耗时等情况协商收费。</w:t>
      </w:r>
    </w:p>
    <w:p>
      <w:pPr>
        <w:widowControl/>
        <w:shd w:val="clear" w:color="auto" w:fill="FFFFFF"/>
        <w:spacing w:line="360" w:lineRule="auto"/>
        <w:ind w:firstLine="581" w:firstLineChars="181"/>
        <w:jc w:val="left"/>
        <w:rPr>
          <w:rFonts w:ascii="仿宋" w:hAnsi="仿宋" w:eastAsia="仿宋" w:cs="宋体"/>
          <w:b/>
          <w:kern w:val="0"/>
          <w:sz w:val="32"/>
          <w:szCs w:val="32"/>
        </w:rPr>
      </w:pPr>
      <w:r>
        <w:rPr>
          <w:rFonts w:hint="eastAsia" w:ascii="仿宋" w:hAnsi="仿宋" w:eastAsia="仿宋" w:cs="宋体"/>
          <w:b/>
          <w:kern w:val="0"/>
          <w:sz w:val="32"/>
          <w:szCs w:val="32"/>
        </w:rPr>
        <w:t>四、特大量使用规定</w:t>
      </w:r>
    </w:p>
    <w:p>
      <w:pPr>
        <w:widowControl/>
        <w:shd w:val="clear" w:color="auto" w:fill="FFFFFF"/>
        <w:spacing w:line="360" w:lineRule="auto"/>
        <w:ind w:firstLine="579" w:firstLineChars="181"/>
        <w:jc w:val="left"/>
        <w:rPr>
          <w:rFonts w:ascii="仿宋" w:hAnsi="仿宋" w:eastAsia="仿宋" w:cs="宋体"/>
          <w:kern w:val="0"/>
          <w:sz w:val="32"/>
          <w:szCs w:val="32"/>
        </w:rPr>
      </w:pPr>
      <w:r>
        <w:rPr>
          <w:rFonts w:hint="eastAsia" w:ascii="仿宋" w:hAnsi="仿宋" w:eastAsia="仿宋" w:cs="宋体"/>
          <w:kern w:val="0"/>
          <w:sz w:val="32"/>
          <w:szCs w:val="32"/>
        </w:rPr>
        <w:t>对于一次进行特大量使用的单位，应事先与仪器管理人员预约；中途如遇急需使用的小量试/样品，可以在其中途插入安排使用。</w:t>
      </w:r>
    </w:p>
    <w:p>
      <w:pPr>
        <w:widowControl/>
        <w:shd w:val="clear" w:color="auto" w:fill="FFFFFF"/>
        <w:spacing w:line="360" w:lineRule="auto"/>
        <w:ind w:firstLine="581" w:firstLineChars="181"/>
        <w:jc w:val="left"/>
        <w:rPr>
          <w:rFonts w:ascii="仿宋" w:hAnsi="仿宋" w:eastAsia="仿宋" w:cs="宋体"/>
          <w:b/>
          <w:kern w:val="0"/>
          <w:sz w:val="32"/>
          <w:szCs w:val="32"/>
        </w:rPr>
      </w:pPr>
      <w:r>
        <w:rPr>
          <w:rFonts w:hint="eastAsia" w:ascii="仿宋" w:hAnsi="仿宋" w:eastAsia="仿宋" w:cs="宋体"/>
          <w:b/>
          <w:kern w:val="0"/>
          <w:sz w:val="32"/>
          <w:szCs w:val="32"/>
        </w:rPr>
        <w:t>五、严禁送禁忌样品的使用</w:t>
      </w:r>
    </w:p>
    <w:p>
      <w:pPr>
        <w:widowControl/>
        <w:shd w:val="clear" w:color="auto" w:fill="FFFFFF"/>
        <w:spacing w:line="360" w:lineRule="auto"/>
        <w:ind w:firstLine="579" w:firstLineChars="181"/>
        <w:jc w:val="left"/>
        <w:rPr>
          <w:rFonts w:ascii="仿宋" w:hAnsi="仿宋" w:eastAsia="仿宋" w:cs="宋体"/>
          <w:kern w:val="0"/>
          <w:sz w:val="32"/>
          <w:szCs w:val="32"/>
        </w:rPr>
      </w:pPr>
      <w:r>
        <w:rPr>
          <w:rFonts w:hint="eastAsia" w:ascii="仿宋" w:hAnsi="仿宋" w:eastAsia="仿宋" w:cs="宋体"/>
          <w:kern w:val="0"/>
          <w:sz w:val="32"/>
          <w:szCs w:val="32"/>
        </w:rPr>
        <w:t>对于虚报试/样品信息，送禁忌试/样品使用，对仪器设备及人员造成的危害，将追究其责任。</w:t>
      </w:r>
    </w:p>
    <w:p>
      <w:pPr>
        <w:widowControl/>
        <w:shd w:val="clear" w:color="auto" w:fill="FFFFFF"/>
        <w:spacing w:line="360" w:lineRule="auto"/>
        <w:ind w:firstLine="739" w:firstLineChars="230"/>
        <w:jc w:val="left"/>
        <w:rPr>
          <w:rFonts w:ascii="仿宋" w:hAnsi="仿宋" w:eastAsia="仿宋" w:cs="宋体"/>
          <w:b/>
          <w:kern w:val="0"/>
          <w:sz w:val="32"/>
          <w:szCs w:val="32"/>
        </w:rPr>
      </w:pPr>
      <w:r>
        <w:rPr>
          <w:rFonts w:hint="eastAsia" w:ascii="仿宋" w:hAnsi="仿宋" w:eastAsia="仿宋" w:cs="宋体"/>
          <w:b/>
          <w:kern w:val="0"/>
          <w:sz w:val="32"/>
          <w:szCs w:val="32"/>
        </w:rPr>
        <w:t>六、使用人员必须注意的其它有关事项</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（一）使用人员必须经过培训合格后方可使用，要求使用者必须熟悉仪器操作规程，如发生违规操作造成仪器的损坏，要承担1/2的维修费（承担总额：2万元以内）。如不承担，则停止其所有使用。</w:t>
      </w:r>
    </w:p>
    <w:p>
      <w:pPr>
        <w:widowControl/>
        <w:shd w:val="clear" w:color="auto" w:fill="FFFFFF"/>
        <w:spacing w:line="360" w:lineRule="auto"/>
        <w:ind w:firstLine="422"/>
        <w:jc w:val="left"/>
        <w:rPr>
          <w:rFonts w:ascii="仿宋" w:hAnsi="仿宋" w:eastAsia="仿宋" w:cs="宋体"/>
          <w:kern w:val="0"/>
          <w:sz w:val="32"/>
          <w:szCs w:val="32"/>
        </w:rPr>
      </w:pPr>
      <w:r>
        <w:rPr>
          <w:rFonts w:hint="eastAsia" w:ascii="仿宋" w:hAnsi="仿宋" w:eastAsia="仿宋" w:cs="宋体"/>
          <w:kern w:val="0"/>
          <w:sz w:val="32"/>
          <w:szCs w:val="32"/>
        </w:rPr>
        <w:t>（二）所有使用人员必须严格遵守大型仪器设备管理规则和使用要求。</w:t>
      </w:r>
      <w:r>
        <w:rPr>
          <w:rFonts w:hint="eastAsia" w:ascii="宋体" w:hAnsi="宋体" w:eastAsia="仿宋" w:cs="宋体"/>
          <w:kern w:val="0"/>
          <w:sz w:val="32"/>
          <w:szCs w:val="32"/>
        </w:rPr>
        <w:t> </w:t>
      </w:r>
    </w:p>
    <w:p>
      <w:pPr>
        <w:widowControl/>
        <w:shd w:val="clear" w:color="auto" w:fill="FFFFFF"/>
        <w:spacing w:line="360" w:lineRule="auto"/>
        <w:ind w:firstLine="422"/>
        <w:jc w:val="left"/>
        <w:rPr>
          <w:rFonts w:ascii="仿宋" w:hAnsi="仿宋" w:eastAsia="仿宋" w:cs="宋体"/>
          <w:b/>
          <w:kern w:val="0"/>
          <w:sz w:val="32"/>
          <w:szCs w:val="32"/>
        </w:rPr>
      </w:pPr>
      <w:r>
        <w:rPr>
          <w:rFonts w:hint="eastAsia" w:ascii="仿宋" w:hAnsi="仿宋" w:eastAsia="仿宋" w:cs="宋体"/>
          <w:b/>
          <w:kern w:val="0"/>
          <w:sz w:val="32"/>
          <w:szCs w:val="32"/>
        </w:rPr>
        <w:t>七、各台（套）仪器的使用细则</w:t>
      </w:r>
    </w:p>
    <w:p>
      <w:pPr>
        <w:widowControl/>
        <w:shd w:val="clear" w:color="auto" w:fill="FFFFFF"/>
        <w:spacing w:line="360" w:lineRule="auto"/>
        <w:ind w:firstLine="400" w:firstLineChars="125"/>
        <w:jc w:val="left"/>
        <w:rPr>
          <w:rFonts w:ascii="仿宋" w:hAnsi="仿宋" w:eastAsia="仿宋" w:cs="宋体"/>
          <w:kern w:val="0"/>
          <w:sz w:val="32"/>
          <w:szCs w:val="32"/>
        </w:rPr>
      </w:pPr>
      <w:r>
        <w:rPr>
          <w:rFonts w:hint="eastAsia" w:ascii="仿宋" w:hAnsi="仿宋" w:eastAsia="仿宋" w:cs="宋体"/>
          <w:kern w:val="0"/>
          <w:sz w:val="32"/>
          <w:szCs w:val="32"/>
        </w:rPr>
        <w:t>（一）提交给用户的使用结果形式为实验报告。</w:t>
      </w:r>
    </w:p>
    <w:p>
      <w:pPr>
        <w:widowControl/>
        <w:spacing w:line="263" w:lineRule="atLeast"/>
        <w:ind w:firstLine="480" w:firstLineChars="150"/>
        <w:jc w:val="left"/>
        <w:rPr>
          <w:rFonts w:ascii="仿宋" w:hAnsi="仿宋" w:eastAsia="仿宋" w:cs="宋体"/>
          <w:kern w:val="0"/>
          <w:sz w:val="32"/>
          <w:szCs w:val="32"/>
        </w:rPr>
      </w:pPr>
      <w:r>
        <w:rPr>
          <w:rFonts w:hint="eastAsia" w:ascii="仿宋" w:hAnsi="仿宋" w:eastAsia="仿宋" w:cs="宋体"/>
          <w:kern w:val="0"/>
          <w:sz w:val="32"/>
          <w:szCs w:val="32"/>
        </w:rPr>
        <w:t>（二）凡需要提供特殊的药品试剂、使用材料等，需要提前沟通，另行收费。</w:t>
      </w:r>
    </w:p>
    <w:p>
      <w:pPr>
        <w:widowControl/>
        <w:spacing w:line="263" w:lineRule="atLeast"/>
        <w:ind w:firstLine="480"/>
        <w:jc w:val="left"/>
        <w:rPr>
          <w:rFonts w:ascii="仿宋" w:hAnsi="仿宋" w:eastAsia="仿宋" w:cs="宋体"/>
          <w:kern w:val="0"/>
          <w:sz w:val="32"/>
          <w:szCs w:val="32"/>
        </w:rPr>
      </w:pPr>
      <w:r>
        <w:rPr>
          <w:rFonts w:hint="eastAsia" w:ascii="仿宋" w:hAnsi="仿宋" w:eastAsia="仿宋" w:cs="宋体"/>
          <w:kern w:val="0"/>
          <w:sz w:val="32"/>
          <w:szCs w:val="32"/>
        </w:rPr>
        <w:t>（三）使用结果原则上在3个工作日内获取。</w:t>
      </w:r>
    </w:p>
    <w:p>
      <w:pPr>
        <w:widowControl/>
        <w:spacing w:line="263" w:lineRule="atLeast"/>
        <w:ind w:firstLine="480"/>
        <w:jc w:val="left"/>
        <w:rPr>
          <w:rFonts w:ascii="仿宋" w:hAnsi="仿宋" w:eastAsia="仿宋" w:cs="宋体"/>
          <w:kern w:val="0"/>
          <w:sz w:val="32"/>
          <w:szCs w:val="32"/>
        </w:rPr>
      </w:pPr>
      <w:r>
        <w:rPr>
          <w:rFonts w:hint="eastAsia" w:ascii="仿宋" w:hAnsi="仿宋" w:eastAsia="仿宋" w:cs="宋体"/>
          <w:kern w:val="0"/>
          <w:sz w:val="32"/>
          <w:szCs w:val="32"/>
        </w:rPr>
        <w:t>（四）由于仪器自身故障等原因所耽误的时间，不计入收费。</w:t>
      </w:r>
    </w:p>
    <w:p>
      <w:pPr>
        <w:jc w:val="right"/>
        <w:rPr>
          <w:rFonts w:ascii="仿宋" w:hAnsi="仿宋" w:eastAsia="仿宋"/>
          <w:sz w:val="32"/>
          <w:szCs w:val="32"/>
        </w:rPr>
      </w:pPr>
      <w:r>
        <w:rPr>
          <w:rFonts w:hint="eastAsia" w:ascii="仿宋" w:hAnsi="仿宋" w:eastAsia="仿宋"/>
          <w:sz w:val="32"/>
          <w:szCs w:val="32"/>
        </w:rPr>
        <w:t>电气工程与自动化学院</w:t>
      </w:r>
    </w:p>
    <w:p>
      <w:pPr>
        <w:jc w:val="right"/>
        <w:rPr>
          <w:rFonts w:ascii="仿宋" w:hAnsi="仿宋" w:eastAsia="仿宋"/>
          <w:sz w:val="32"/>
          <w:szCs w:val="32"/>
        </w:rPr>
      </w:pPr>
      <w:r>
        <w:rPr>
          <w:rFonts w:hint="eastAsia" w:ascii="仿宋" w:hAnsi="仿宋" w:eastAsia="仿宋"/>
          <w:sz w:val="32"/>
          <w:szCs w:val="32"/>
        </w:rPr>
        <w:t>2017年6月20日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B02C94"/>
    <w:rsid w:val="10B02C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2017-09-12T07:40:00Z</dcterms:created>
  <dc:creator>Administrator</dc:creator>
  <cp:lastModifiedBy>Administrator</cp:lastModifiedBy>
  <dcterms:modified xsi:type="dcterms:W3CDTF">2017-09-12T07:41:08Z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